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BayELKV (Bayern)</w:t>
      </w:r>
    </w:p>
    <w:p>
      <w:r>
        <w:rPr>
          <w:color w:val="555555"/>
          <w:sz w:val="18"/>
        </w:rPr>
        <w:t xml:space="preserve">Vertrag zwischen dem Bayerischen Staate und der Evangelisch-Lutherischen Kirche in Bayern rechts des Rheins BayRS 2220-1-K/WK [Anlage 2, 4]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Dem Schülern aller Schularten wird im Benehmen mit der kirchlichen Oberbehörde geeignete und ausreichende Gelegenheit zur Erfüllung ihrer religiösen Pflichten, insbesondere auch zum Besuche des Konfirmandenunterrichtes gegeben.</w:t>
      </w:r>
    </w:p>
    <w:p>
      <w:r>
        <w:rPr>
          <w:color w:val="555555"/>
          <w:sz w:val="17"/>
        </w:rPr>
        <w:t xml:space="preserve">Zitiervorschlag: Art 11 BayELKV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https://recht.nulegal.eu/gesetze/BayELKV/11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