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BayELKV (Bayern)</w:t>
      </w:r>
    </w:p>
    <w:p>
      <w:r>
        <w:rPr>
          <w:color w:val="555555"/>
          <w:sz w:val="18"/>
        </w:rPr>
        <w:t xml:space="preserve">Vertrag zwischen dem Bayerischen Staate und der Evangelisch-Lutherischen Kirche in Bayern rechts des Rheins BayRS 2220-1-K/WK [Anlage 2, 4]</w:t>
      </w:r>
    </w:p>
    <w:p>
      <w:r>
        <w:rPr>
          <w:color w:val="555555"/>
          <w:sz w:val="18"/>
        </w:rPr>
        <w:t xml:space="preserve">Landesrecht Bayern</w:t>
      </w:r>
    </w:p>
    <w:p>
      <w:r>
        <w:rPr>
          <w:color w:val="555555"/>
          <w:sz w:val="18"/>
        </w:rPr>
        <w:t xml:space="preserve">Stand: 25.08.2026 (konsolidierte Textfassung, kein amtliches Inkrafttretensdatum)</w:t>
      </w:r>
    </w:p>
    <w:p>
      <w:r>
        <w:t xml:space="preserve">(I) Der Religionsunterricht ist in allen Schularten ordentliches Lehrfach, soweit er dort bisher eingeführt ist. Der Unterricht ist in Übereinstimmung mit den Grundsätzen der evangelisch-lutherischen Kirche zu erteilen. Der Umfang des Religionsunterrichts wird im Einvernehmen mit der kirchlichen Oberbehörde festgesetzt. Sätze 1 und 3 gelten entsprechend, wenn neben oder anstelle von Schularten, in denen Religionsunterricht eingeführt ist, neue Schularten mit vergleichbaren Bildungszielen eingerichtet werden.</w:t>
      </w:r>
    </w:p>
    <w:p>
      <w:r>
        <w:t xml:space="preserve">(II) Sollte der Bayerische Staat in etlichen Schulen rechtlich nicht in der Lage sein, dem Religionsunterrichte den Charakter eines ordentlichen Lehrfaches zu erteilen, so wird wenigstens die Erteilung eines privaten Religionsunterrichtes durch die Bereitstellung der Schulräume sowie durch deren Beheizung und Beleuchtung aus gemeindlichen oder staatlichen Mitteln sichergestellt.</w:t>
      </w:r>
    </w:p>
    <w:p>
      <w:r>
        <w:rPr>
          <w:color w:val="555555"/>
          <w:sz w:val="17"/>
        </w:rPr>
        <w:t xml:space="preserve">Zitiervorschlag: Art 10 BayELKV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https://recht.nulegal.eu/gesetze/BayELKV/10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