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(I) Der Bayerische Staat gewährleistet die freie und öffentliche Ausübung der evangelischen Religion.</w:t>
      </w:r>
    </w:p>
    <w:p>
      <w:r>
        <w:t xml:space="preserve">(II) Er anerkennt das Recht der Kirche im Rahmen ihrer Zuständigkeit Gesetze zu erlassen und Anordnungen zu treffen, die ihre Mitglieder binden; er wird die Ausübung dieses Rechtes weder hindern noch erschweren.</w:t>
      </w:r>
    </w:p>
    <w:p>
      <w:r>
        <w:t xml:space="preserve">(III) Er sichert der Evangelisch-Lutherischen Kirche in Bayern die ungestörte Kultübung zu. In der Erfüllung ihrer Amtspflichten genießen die Geistlichen den Schutz des Staates.</w:t>
      </w:r>
    </w:p>
    <w:p>
      <w:r>
        <w:rPr>
          <w:color w:val="555555"/>
          <w:sz w:val="17"/>
        </w:rPr>
        <w:t xml:space="preserve">Zitiervorschlag: Art 1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