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BayEGRiLVDolm (Bayern)</w:t>
      </w:r>
    </w:p>
    <w:p>
      <w:r>
        <w:rPr>
          <w:color w:val="555555"/>
          <w:sz w:val="18"/>
        </w:rPr>
        <w:t xml:space="preserve">Verordnung über die Feststellung der Gleichwertigkeit ausländischer Berufsqualifikationen als staatlich geprüfter Übersetzer, Dolmetscher oder Dolmetscher für Deutsche Gebärdensprache (Berufsqualifikationsfeststellungsverordnung Übersetzer und Dolmetscher – BQFVÜDolm)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15 Abs. 1 Nr. 4 des Gesetzes über die öffentliche Bestellung und allgemeine Beeidigung von Dolmetschern und Übersetzern – Dolmetschergesetz – DolmG – (BayRS 300-12-1-J), zuletzt geändert durch § 2 des Gesetzes vom 20. Dezember 2007 (GVBl S. 966), erlässt das Bayerische Staatsministerium für Unterricht und Kultus im Einvernehmen mit den Bayerischen Staatsministerien der Justiz und der Finanzen folgende Verordnung:</w:t>
      </w:r>
    </w:p>
    <w:p>
      <w:r>
        <w:rPr>
          <w:color w:val="555555"/>
          <w:sz w:val="17"/>
        </w:rPr>
        <w:t xml:space="preserve">Zitiervorschlag: Eingangsformel BayEGRiLVDolm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https://recht.nulegal.eu/gesetze/BayEGRiLVDolm/eingangsformel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BayEGRiLVDolm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