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BayEGRiLLehrV (Bayern) — Ziel der Eignungsprüfung</w:t>
      </w:r>
    </w:p>
    <w:p>
      <w:r>
        <w:rPr>
          <w:color w:val="555555"/>
          <w:sz w:val="18"/>
        </w:rPr>
        <w:t xml:space="preserve">Verordnung zum Vollzug des Art. 7 Abs. 4 des Bayerischen Lehrerbildungsgesetzes (EG-Richtlinienverordnung für Lehrer – EGRiLV-Lehrer)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der Eignungsprüfung soll beurteilt werden, ob die antragstellende Person die für eine Tätigkeit im jeweiligen Lehramt im Freistaat Bayern erforderlichen Kenntnisse, Fähigkeiten und Fertigkeiten besitzt.</w:t>
      </w:r>
    </w:p>
    <w:p>
      <w:r>
        <w:rPr>
          <w:color w:val="555555"/>
          <w:sz w:val="17"/>
        </w:rPr>
        <w:t xml:space="preserve">Zitiervorschlag: § 3 BayEGRiLLehrV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https://recht.nulegal.eu/gesetze/BayEGRiLLehrV/3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