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BayEG (Bayern) — Entschädigungsberechtigter und Entschädigungsverpflichteter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Entschädigung kann verlangen, wer in seinem Recht durch die Enteignung beeinträchtigt wird und dadurch einen Vermögensnachteil erleidet.</w:t>
      </w:r>
    </w:p>
    <w:p>
      <w:r>
        <w:t xml:space="preserve">(2) Zur Leistung der Entschädigung ist der Enteignungsbegünstigte verpflichtet. Wird Ersatzland enteignet, so ist zur Entschädigung derjenige verpflichtet, der Ersatzland für das zu enteignende Grundstück nach Art. 14 Abs. 1 Nrn. 1 oder 2 bereitstellen müßte, wenn die Voraussetzungen dieser Vorschriften erfüllt wären.</w:t>
      </w:r>
    </w:p>
    <w:p>
      <w:r>
        <w:rPr>
          <w:color w:val="555555"/>
          <w:sz w:val="17"/>
        </w:rPr>
        <w:t xml:space="preserve">Zitiervorschlag: Art 9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