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BayEG (Bayern) — Umfang, Beschränkung und Ausdehnung der Enteignung</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 Grundstück darf nur in dem Umfang enteignet werden, in dem dies zur Verwirklichung des Enteignungszwecks erforderlich ist. Reicht die Belastung eines Grundstücks mit einem Recht zur Verwirklichung des Enteignungszwecks aus, so ist die Enteignung hierauf zu beschränken.</w:t>
      </w:r>
    </w:p>
    <w:p>
      <w:r>
        <w:t xml:space="preserve">(2) Soll ein Grundstück mit einem Erbbaurecht belastet werden, so kann der Eigentümer an Stelle der Belastung die Entziehung des Eigentums verlangen. Soll ein Grundstück mit einem anderen Recht belastet werden, so kann der Eigentümer die Entziehung des Eigentums verlangen, wenn durch die Belastung mit dem dinglichen Recht das Grundstück nicht mehr in angemessenem Umfang in der bisherigen oder einer anderen zulässigen Art genutzt werden kann.</w:t>
      </w:r>
    </w:p>
    <w:p>
      <w:r>
        <w:t xml:space="preserve">(3) Soll ein Grundstück oder ein räumlich oder wirtschaftlich zusammenhängender Grundbesitz nur zu einem Teil enteignet werden, so kann der Eigentümer die Ausdehnung der Enteignung auf das Restgrundstück oder den Restbesitz insoweit verlangen, als diese nicht mehr in angemessenem Umfang in der bisherigen oder einer anderen zulässigen Art genutzt werden können.</w:t>
      </w:r>
    </w:p>
    <w:p>
      <w:r>
        <w:t xml:space="preserve">(4) Der Eigentümer kann verlangen, daß die Enteignung auf die in Art. 2 Abs. 2 genannten Gegenstände ausgedehnt wird, wenn und soweit er sie infolge der Enteignung nicht mehr wirtschaftlich nutzen oder in anderer Weise angemessen verwerten kann.</w:t>
      </w:r>
    </w:p>
    <w:p>
      <w:r>
        <w:t xml:space="preserve">(5) Ist zur vorübergehenden Benutzung eines Grundstücks ein Rechtsverhältnis begründet worden (Art. 2 Abs. 3), so kann der Eigentümer die Übernahme des Grundstücks verlangen, wenn die Wiederherstellung zu der bisherigen oder einer anderen zumutbaren zulässigen Nutzung unterbleiben muß, weil der Aufwand dafür wirtschaftlich in keinem vertretbaren Verhältnis zum Wert des Grundstücks stehen würde. Im übrigen gelten die Vorschriften dieses Gesetzes sinngemäß.</w:t>
      </w:r>
    </w:p>
    <w:p>
      <w:r>
        <w:t xml:space="preserve">(6) Ein Verlangen nach den Absätzen 2 bis 4 ist schriftlich oder zur Niederschrift bei der Enteignungsbehörde bis zum Schluß der mündlichen Verhandlung oder, wenn die mündliche Verhandlung auf Grund eines Verzichts der Beteiligten entfällt, zugleich mit der Verzichtserklärung geltend zu machen. Ein Verlangen nach Absatz 5 ist schriftlich oder zur Niederschrift der Enteignungsbehörde innerhalb von drei Monaten geltend zu machen, nachdem der Enteignungsbegünstigte dem Eigentümer den Abschluß der Benutzung schriftlich angezeigt hat.</w:t>
      </w:r>
    </w:p>
    <w:p>
      <w:r>
        <w:rPr>
          <w:color w:val="555555"/>
          <w:sz w:val="17"/>
        </w:rPr>
        <w:t xml:space="preserve">Zitiervorschlag: Art 6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