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51 BayEG (Bayern) — Abwicklung eingeleiteter Verfahren</w:t>
      </w:r>
    </w:p>
    <w:p>
      <w:r>
        <w:rPr>
          <w:color w:val="555555"/>
          <w:sz w:val="18"/>
        </w:rPr>
        <w:t xml:space="preserve">Bayerisches Gesetz über die entschädigungspflichtige Enteignung</w:t>
      </w:r>
    </w:p>
    <w:p>
      <w:r>
        <w:rPr>
          <w:color w:val="555555"/>
          <w:sz w:val="18"/>
        </w:rPr>
        <w:t xml:space="preserve">Landesrecht Bayern</w:t>
      </w:r>
    </w:p>
    <w:p>
      <w:r>
        <w:rPr>
          <w:color w:val="555555"/>
          <w:sz w:val="18"/>
        </w:rPr>
        <w:t xml:space="preserve">Stand: 25.08.2026 (konsolidierte Textfassung, kein amtliches Inkrafttretensdatum)</w:t>
      </w:r>
    </w:p>
    <w:p>
      <w:r>
        <w:t xml:space="preserve">Enteignungsverfahren, für die der Enteignungsantrag beim Inkrafttreten dieses Gesetzes bereits eingereicht ist, sind nach den bisher geltenden Vorschriften weiterzuführen. Hat die Enteignungsbehörde die Entschädigung noch nicht festgesetzt, so sind die Vorschriften dieses Gesetzes über die Entschädigung und den Härteausgleich anzuwenden.</w:t>
      </w:r>
    </w:p>
    <w:p>
      <w:r>
        <w:rPr>
          <w:color w:val="555555"/>
          <w:sz w:val="17"/>
        </w:rPr>
        <w:t xml:space="preserve">Zitiervorschlag: Art 51 BayEG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https://recht.nulegal.eu/gesetze/BayEG/51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