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BayEG (Bayern) — Entschädigungsvorschriften in anderen Gesetzen</w:t>
      </w:r>
    </w:p>
    <w:p>
      <w:r>
        <w:rPr>
          <w:color w:val="555555"/>
          <w:sz w:val="18"/>
        </w:rPr>
        <w:t xml:space="preserve">Bayerisches Gesetz über die entschädigungspflichtige Enteignung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in einem anderen Gesetz auf die Vorschriften dieses Gesetzes über die Entschädigung verwiesen, so sind die Art. 8 bis 13 sinngemäß anzuwenden. Für das Verfahren vor den ordentlichen Gerichten gilt Art. 45.</w:t>
      </w:r>
    </w:p>
    <w:p>
      <w:r>
        <w:rPr>
          <w:color w:val="555555"/>
          <w:sz w:val="17"/>
        </w:rPr>
        <w:t xml:space="preserve">Zitiervorschlag: Art 49 BayEG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