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BayEG (Bayern) — Grundrechtseinschränkung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Grundrecht der Unverletzlichkeit der Wohnung (Art. 13 des Grundgesetzes, Art. 106 Abs. 3 der Verfassung) wird durch dieses Gesetz eingeschränkt.</w:t>
      </w:r>
    </w:p>
    <w:p>
      <w:r>
        <w:t xml:space="preserve">[Amtl. Anm.:] BGBl. FN 100-1</w:t>
      </w:r>
    </w:p>
    <w:p>
      <w:r>
        <w:t xml:space="preserve">[Amtl. Anm.:] BayRS 100-1-S</w:t>
      </w:r>
    </w:p>
    <w:p>
      <w:r>
        <w:rPr>
          <w:color w:val="555555"/>
          <w:sz w:val="17"/>
        </w:rPr>
        <w:t xml:space="preserve">Zitiervorschlag: Art 47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