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BayEG (Bayern) — Rechtsbehelfe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Klagen wegen der Entschädigung, wegen Ausgleichszahlungen mit Ausnahme des Härteausgleichs nach Art. 18 und wegen der Erstattung von Aufwendungen der Beteiligten ist der Rechtsweg zu den ordentlichen Gerichten gegeben.</w:t>
      </w:r>
    </w:p>
    <w:p>
      <w:r>
        <w:t xml:space="preserve">(2) Im übrigen ist, soweit nichts anderes bestimmt ist, der Verwaltungsrechtsweg gegeben. Neben den Fällen der Art. 70 und 74 Abs. 1 Satz 2 BayVwVfG findet ein Vorverfahren (§ 68 der Verwaltungsgerichtsordnung) auch bei Entscheidungen nach Art. 34 und 39 nicht statt.</w:t>
      </w:r>
    </w:p>
    <w:p>
      <w:r>
        <w:t xml:space="preserve">(3) Förmliche Rechtsbehelfe gegen die Ausführungsanordnung sind insoweit zulässig, als geltend gemacht werden kann, daß sie eine selbständige Rechtsverletzung darstellt.</w:t>
      </w:r>
    </w:p>
    <w:p>
      <w:r>
        <w:t xml:space="preserve">[Amtl. Anm.:] BayRS 2010-1-I</w:t>
      </w:r>
    </w:p>
    <w:p>
      <w:r>
        <w:t xml:space="preserve">[Amtl. Anm.:] BGBl. FN 340-1</w:t>
      </w:r>
    </w:p>
    <w:p>
      <w:r>
        <w:rPr>
          <w:color w:val="555555"/>
          <w:sz w:val="17"/>
        </w:rPr>
        <w:t xml:space="preserve">Zitiervorschlag: Art 44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