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43 BayEG (Bayern) — Aufwendungen der Beteiligten</w:t>
      </w:r>
    </w:p>
    <w:p>
      <w:r>
        <w:rPr>
          <w:color w:val="555555"/>
          <w:sz w:val="18"/>
        </w:rPr>
        <w:t xml:space="preserve">Bayerisches Gesetz über die entschädigungspflichtige Enteignung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Aufwendungen der Beteiligten im Enteignungs- und Besitzeinweisungsverfahren, die zur zweckentsprechenden Rechtsverfolgung oder Rechtsverteidigung notwendig sind, sind vom Schuldner der Kosten des Enteignungsverfahrens oder, wenn nur ein Besitzeinweisungsverfahren durchgeführt wird, vom Schuldner der Kosten des Besitzeinweisungsverfahrens zu erstatten.</w:t>
      </w:r>
    </w:p>
    <w:p>
      <w:r>
        <w:t xml:space="preserve">(2) Die Enteignungsbehörde setzt den Betrag der den Beteiligten zu erstattenden Aufwendungen in dem Beschluß, in dem über die Entschädigung entschieden wird, oder, wenn das beantragt und ein berechtigtes Interesse daran geltend gemacht wird, in einem gesonderten Beschluß fest. Ist der gesonderte Beschluß unanfechtbar, so findet aus ihm die Zwangsvollstreckung nach den Vorschriften der Zivilprozeßordnung über die Vollstreckung von Kostenfestsetzungsbeschlüssen statt; Art. 38 Abs. 2 gilt sinngemäß.</w:t>
      </w:r>
    </w:p>
    <w:p>
      <w:r>
        <w:t xml:space="preserve">(3) Aufwendungen eines Beteiligten für Sachverständige sind nur bis zu der Höhe erstattungsfähig, die sich aus der entsprechenden Anwendung der Vorschriften ergibt, die für die Entschädigung von Sachverständigen durch die Enteignungsbehörde maßgebend sind.</w:t>
      </w:r>
    </w:p>
    <w:p>
      <w:r>
        <w:t xml:space="preserve">(4) Wird der Enteignungsantrag abgelehnt oder zurückgenommen oder erledigt er sich auf andere Weise, so bestimmt sich der Gegenstandswert der zu erstattenden Gebühren nach der Entschädigung, die nach dem Antrag voraussichtlich festgesetzt worden wäre. Eine Beweiserhebung nur zum Zweck der Ermittlung des Gegenstandswerts findet nicht statt. Die Sätze 1 und 2 gelten entsprechend, wenn nur ein Besitzeinweisungsverfahren durchgeführt wird.</w:t>
      </w:r>
    </w:p>
    <w:p>
      <w:r>
        <w:t xml:space="preserve">[Amtl. Anm.:] BGBl. FN 310-4</w:t>
      </w:r>
    </w:p>
    <w:p>
      <w:r>
        <w:rPr>
          <w:color w:val="555555"/>
          <w:sz w:val="17"/>
        </w:rPr>
        <w:t xml:space="preserve">Zitiervorschlag: Art 43 BayEG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https://recht.nulegal.eu/gesetze/BayEG/43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