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BayEG (Bayern) — Kosten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Amtshandlungen nach diesem Gesetz werden Kosten (Gebühren und Auslagen) nach dem Kostengesetz (KG) erhoben.</w:t>
      </w:r>
    </w:p>
    <w:p>
      <w:r>
        <w:t xml:space="preserve">(2) Für das Enteignungsverfahren und das Rückenteignungsverfahren nach Teil III Abschnitt 1 wird jeweils eine Gebühr (Verfahrensgebühr) erhoben. Wird einem Antrag stattgegeben, so ist zur Zahlung der Kosten der Entschädigungsverpflichtete (Art. 9 Abs. 2), sonst der Antragsteller verpflichtet. Wird einem Antrag auf Rückenteignung stattgegeben, so ist der von der Rückenteignung Betroffene zur Zahlung der Kosten verpflichtet. Art. 2 Abs. 2 bis 4 KG bleiben unberührt.</w:t>
      </w:r>
    </w:p>
    <w:p>
      <w:r>
        <w:t xml:space="preserve">(3) Für das Verfahren über einen Antrag auf Aufhebung eines Enteignungsbeschlusses wird neben der Verfahrensgebühr nach Absatz 2 Satz 1 eine eigene Gebühr erhoben. Wird dem Antrag stattgegeben, so ist zur Zahlung der Kosten der Enteignungsbegünstigte, sonst der Antragsteller verpflichtet. Art. 2 Abs. 2 bis 4 KG bleiben unberührt.</w:t>
      </w:r>
    </w:p>
    <w:p>
      <w:r>
        <w:t xml:space="preserve">(4) Für Amtshandlungen nach Art. 7 ist der Träger des Vorhabens zur Zahlung der Kosten verpflichtet. Art. 2 Abs. 2 bis 4 KG bleiben unberührt.</w:t>
      </w:r>
    </w:p>
    <w:p>
      <w:r>
        <w:t xml:space="preserve">(5) Das Verfahren über einen Antrag nach Art. 18 ist kostenfrei.</w:t>
      </w:r>
    </w:p>
    <w:p>
      <w:r>
        <w:t xml:space="preserve">[Amtl. Anm.:] BayRS 2013-1-1-F</w:t>
      </w:r>
    </w:p>
    <w:p>
      <w:r>
        <w:rPr>
          <w:color w:val="555555"/>
          <w:sz w:val="17"/>
        </w:rPr>
        <w:t xml:space="preserve">Zitiervorschlag: Art 42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