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BayEG (Bayern) — Zulässigkeit der Ersatzlandenteignung</w:t>
      </w:r>
    </w:p>
    <w:p>
      <w:r>
        <w:rPr>
          <w:color w:val="555555"/>
          <w:sz w:val="18"/>
        </w:rPr>
        <w:t xml:space="preserve">Bayerisches Gesetz über die entschädigungspflichtige Enteignung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Enteignung von Grundstücken zur Entschädigung in Land (Ersatzland) ist nur zulässig, wenn</w:t>
      </w:r>
    </w:p>
    <w:p>
      <w:r>
        <w:t xml:space="preserve">1. die Entschädigung eines Eigentümers gemäß Art. 14 in Land festzusetzen ist und</w:t>
      </w:r>
    </w:p>
    <w:p>
      <w:r>
        <w:t xml:space="preserve">2. es dem Enteignungsbegünstigten nicht möglich oder zumutbar ist, geeignetes Ersatzland aus eigenem Grundbesitz bereitzustellen oder freihändig zu angemessenen Bedingungen zu erwerben.</w:t>
      </w:r>
    </w:p>
    <w:p>
      <w:r>
        <w:t xml:space="preserve">(2) Grundstücke unterliegen nicht der Ersatzlandenteignung, wenn und soweit</w:t>
      </w:r>
    </w:p>
    <w:p>
      <w:r>
        <w:t xml:space="preserve">1. der Eigentümer oder bei land- oder forstwirtschaftlich oder gewerblich genutzten Grundstücken auch der sonstige Nutzungsberechtigte auf sie mit seiner Berufs- oder Erwerbstätigkeit angewiesen und ihm im Interesse der Erhaltung der Wirtschaftlichkeit seines Betriebs die Abgabe nicht zuzumuten ist,</w:t>
      </w:r>
    </w:p>
    <w:p>
      <w:r>
        <w:t xml:space="preserve">2. die Grundstücke oder ihre Erträge unmittelbar öffentlichen oder sonstigen in Art. 1 Abs. 1 und Abs. 2 Nr. 1 aufgeführten Zwecken dienen oder zu dienen bestimmt sind oder</w:t>
      </w:r>
    </w:p>
    <w:p>
      <w:r>
        <w:t xml:space="preserve">3. die Grundstücke mit einem eigengenutzten Eigenheim oder einer eigengenutzten Kleinsiedlung bebaut sind.</w:t>
      </w:r>
    </w:p>
    <w:p>
      <w:r>
        <w:t xml:space="preserve">(3) Im Außenbereich unterliegen Grundstücke der Ersatzlandenteignung nur, wenn sie land- oder forstwirtschaftlich genutzt werden sollen oder einem nach § 35 Abs. 1 des Baugesetzbuchs zulässigen Vorhaben dienen sollen.</w:t>
      </w:r>
    </w:p>
    <w:p>
      <w:r>
        <w:t xml:space="preserve">(4) Die Enteignung zum Zweck der Entschädigung eines Eigentümers, dessen Grundstück zur Beschaffung von Ersatzland enteignet wird, ist unzulässig.</w:t>
      </w:r>
    </w:p>
    <w:p>
      <w:r>
        <w:rPr>
          <w:color w:val="555555"/>
          <w:sz w:val="17"/>
        </w:rPr>
        <w:t xml:space="preserve">Zitiervorschlag: Art 4 BayEG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