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BayEG (Bayern) — Ausführungsanordnung</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der Enteignungsbeschluß nicht mehr anfechtbar, so ordnet auf Antrag eines Beteiligten die Enteignungsbehörde seine Ausführung an (Ausführungsanordnung), wenn der Entschädigungsverpflichtete die Geldentschädigung gezahlt oder zulässigerweise unter Verzicht auf das Recht der Rücknahme hinterlegt hat.</w:t>
      </w:r>
    </w:p>
    <w:p>
      <w:r>
        <w:t xml:space="preserve">(2) Im Fall des Art. 29 Abs. 4 ist auf Antrag eines Beteiligten die Ausführungsanordnung zu erlassen, wenn der Entschädigungsverpflichtete die festgesetzte Vorauszahlung gezahlt oder in zulässiger Weise unter Verzicht auf das Recht der Rücknahme hinterlegt hat. Die Enteignungsbehörde kann die Ausführungsanordnung davon abhängig machen, daß der Entschädigungsverpflichtete im übrigen für einen angemessenen Betrag Sicherheit leistet.</w:t>
      </w:r>
    </w:p>
    <w:p>
      <w:r>
        <w:t xml:space="preserve">(3) Ist die Entscheidung nach Art. 30 Abs. 2 Satz 1 unanfechtbar, so gilt Absatz 2 sinngemäß.</w:t>
      </w:r>
    </w:p>
    <w:p>
      <w:r>
        <w:t xml:space="preserve">(4) Im Fall des Art. 31 Abs. 2 ist auf Antrag eines Beteiligten die Ausführungsanordnung zu erlassen, wenn der Entschädigungsverpflichtete die im Enteignungsbeschluß in Verbindung mit dem Nachtragsbeschluß festgesetzte Geldentschädigung gezahlt oder zulässigerweise unter Verzicht auf das Recht der Rücknahme hinterlegt hat. Der Nachtragsbeschluß braucht nicht unanfechtbar zu sein.</w:t>
      </w:r>
    </w:p>
    <w:p>
      <w:r>
        <w:t xml:space="preserve">(5) Die Ausführungsanordnung ist allen Beteiligten zuzustellen, deren Rechtsstellung durch den Enteignungsbeschluß betroffen wird. Art. 31 Abs. 3 gilt sinngemäß.</w:t>
      </w:r>
    </w:p>
    <w:p>
      <w:r>
        <w:t xml:space="preserve">(6) Mit dem in der Ausführungsanordnung festzusetzenden Tag wird der bisherige Rechtszustand durch den im Enteignungsbeschluß geregelten neuen Rechtszustand ersetzt. Gleichzeitig entstehen die nach Art. 31 Abs. 1 Nr. 4 Buchst. f begründeten Rechtsverhältnisse; sie gelten von diesem Zeitpunkt an als zwischen den an dem Rechtsverhältnis Beteiligten vereinbart. Die Ausführungsanordnung schließt die Einweisung in den Besitz des enteigneten Grundstücks und des Ersatzlandes zu dem festgesetzten Tag ein.</w:t>
      </w:r>
    </w:p>
    <w:p>
      <w:r>
        <w:t xml:space="preserve">(7) Die Enteignungsbehörde übersendet dem Grundbuchamt eine beglaubigte Abschrift des Enteignungsbeschlusses und der Ausführungsanordnung und ersucht es, das Grundbuch entsprechend den Rechtsänderungen zu berichtigen.</w:t>
      </w:r>
    </w:p>
    <w:p>
      <w:r>
        <w:rPr>
          <w:color w:val="555555"/>
          <w:sz w:val="17"/>
        </w:rPr>
        <w:t xml:space="preserve">Zitiervorschlag: Art 34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