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BayEG (Bayern) — Lauf der Verwendungsfrist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Frist, innerhalb deren der Enteignungsgegenstand zu dem vorgesehenen Zweck nach Art. 31 Abs. 1 Nr. 3 zu verwenden ist, beginnt mit dem Eintritt der Rechtsänderung.</w:t>
      </w:r>
    </w:p>
    <w:p>
      <w:r>
        <w:t xml:space="preserve">(2) Die Enteignungsbehörde kann diese Frist vor ihrem Ablauf auf Antrag verlängern, wenn</w:t>
      </w:r>
    </w:p>
    <w:p>
      <w:r>
        <w:t xml:space="preserve">1. der Enteignungsbegünstigte nachweist, daß er den Enteignungsgegenstand ohne Verschulden innerhalb der festgesetzten Frist nicht zu dem vorgesehenen Zweck verwenden kann, oder</w:t>
      </w:r>
    </w:p>
    <w:p>
      <w:r>
        <w:t xml:space="preserve">2. vor Ablauf der Frist eine Gesamtrechtsnachfolge eintritt und der Rechtsnachfolger nachweist, daß er den Enteignungsgegenstand innerhalb der gesetzten Frist nicht zu dem vorgesehenen Zweck verwenden kann.</w:t>
      </w:r>
    </w:p>
    <w:p>
      <w:r>
        <w:t xml:space="preserve">Der enteignete frühere Eigentümer ist vor der Entscheidung über die Verlängerung zu hören. Die Entscheidung ist den Beteiligten des vorangegangenen Enteignungsverfahrens zuzustellen.</w:t>
      </w:r>
    </w:p>
    <w:p>
      <w:r>
        <w:rPr>
          <w:color w:val="555555"/>
          <w:sz w:val="17"/>
        </w:rPr>
        <w:t xml:space="preserve">Zitiervorschlag: Art 32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