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BayEG (Bayern) — Zulässigkeit der Enteignung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Enteignung ist im einzelnen Fall nur zulässig, wenn das Wohl der Allgemeinheit sie erfordert und der Enteignungszweck auf andere zumutbare Weise, insbesondere aus Grundbesitz des Antragstellers, nicht erreicht werden kann.</w:t>
      </w:r>
    </w:p>
    <w:p>
      <w:r>
        <w:t xml:space="preserve">(2) Die Enteignung zu den in Art. 1 Abs. 1 und Abs. 2 Nr. 1 bezeichneten Zwecken setzt voraus, daß der Antragsteller</w:t>
      </w:r>
    </w:p>
    <w:p>
      <w:r>
        <w:t xml:space="preserve">1. sich nachweislich ernsthaft bemüht hat, das Grundstück zu angemessenen Bedingungen freihändig zu erwerben, und</w:t>
      </w:r>
    </w:p>
    <w:p>
      <w:r>
        <w:t xml:space="preserve">2. glaubhaft macht, das Grundstück werde innerhalb angemessener Frist zu dem vorgesehenen Zweck verwendet werden.</w:t>
      </w:r>
    </w:p>
    <w:p>
      <w:r>
        <w:rPr>
          <w:color w:val="555555"/>
          <w:sz w:val="17"/>
        </w:rPr>
        <w:t xml:space="preserve">Zitiervorschlag: Art 3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