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BayEG (Bayern) — Erforschung des Sachverhalts</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Enteignungsbehörde kann im Rahmen der Ermittlung des Sachverhalts anordnen, daß</w:t>
      </w:r>
    </w:p>
    <w:p>
      <w:r>
        <w:t xml:space="preserve">1. Beteiligte persönlich erscheinen oder einen Vertreter entsenden, der zur Abgabe der erforderlichen Erklärungen ermächtigt ist,</w:t>
      </w:r>
    </w:p>
    <w:p>
      <w:r>
        <w:t xml:space="preserve">2. Beteiligte Urkunden und sonstige Unterlagen vorlegen, die sich in ihrem Besitz befinden,</w:t>
      </w:r>
    </w:p>
    <w:p>
      <w:r>
        <w:t xml:space="preserve">3. Hypotheken-, Grundschuld- und Rentenschuldgläubiger die in ihrem Besitz befindlichen Hypotheken-, Grundschuld- und Rentenschuldbriefe vorlegen.</w:t>
      </w:r>
    </w:p>
    <w:p>
      <w:r>
        <w:t xml:space="preserve">(2) Die Enteignungsbehörde kann den Zustand des Grundstücks im Rahmen der Vorarbeiten oder vor dem Wirksamwerden der vorzeitigen Besitzeinweisung oder sonstiger mit dem Vorhaben zusammenhängender Maßnahmen in einer Niederschrift feststellen lassen, soweit er für die zu leistende Entschädigung von Bedeutung ist. Die Enteignungsbehörde soll den Zustand des Grundstücks nach Satz 1 feststellen lassen, wenn es der Eigentümer verlangt. Die Niederschrift ist dem Träger des Vorhabens und dem Eigentümer zuzusenden; die Beteiligten können die Niederschrift jederzeit einsehen.</w:t>
      </w:r>
    </w:p>
    <w:p>
      <w:r>
        <w:rPr>
          <w:color w:val="555555"/>
          <w:sz w:val="17"/>
        </w:rPr>
        <w:t xml:space="preserve">Zitiervorschlag: Art 24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