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BayEG (Bayern) — Förmliches Verwaltungsverfahren</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Das Enteignungsverfahren wird als förmliches Verwaltungsverfahren nach dem Bayerischen Verwaltungsverfahrensgesetz (BayVwVfG) durchgeführt, soweit sich aus diesem Gesetz nichts Abweichendes ergibt. Im Enteignungsverfahren und soweit in diesem Gesetz Schriftform angeordnet ist, findet Art. 3a des Bayerischen Verwaltungsverfahrensgesetzes keine Anwendung.</w:t>
      </w:r>
    </w:p>
    <w:p>
      <w:r>
        <w:t xml:space="preserve">[Amtl. Anm.:] BayRS 2010-1-I</w:t>
      </w:r>
    </w:p>
    <w:p>
      <w:r>
        <w:rPr>
          <w:color w:val="555555"/>
          <w:sz w:val="17"/>
        </w:rPr>
        <w:t xml:space="preserve">Zitiervorschlag: Art 23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