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BayEG (Bayern) — Nachweise</w:t>
      </w:r>
    </w:p>
    <w:p>
      <w:r>
        <w:rPr>
          <w:color w:val="555555"/>
          <w:sz w:val="18"/>
        </w:rPr>
        <w:t xml:space="preserve">Bayerisches Gesetz über die entschädigungspflichtige Enteignung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Enteignungsbehörde kann jederzeit die Durchführung des Verfahrens davon abhängig machen, daß</w:t>
      </w:r>
    </w:p>
    <w:p>
      <w:r>
        <w:t xml:space="preserve">1. die Mittel für die Verwirklichung des Vorhabens nachgewiesen werden,</w:t>
      </w:r>
    </w:p>
    <w:p>
      <w:r>
        <w:t xml:space="preserve">2. Sicherheit bis zur Höhe der voraussichtlichen Enteignungsentschädigung geleistet wird,</w:t>
      </w:r>
    </w:p>
    <w:p>
      <w:r>
        <w:t xml:space="preserve">3. ein für das Vorhaben erforderlicher Planfeststellungsbeschluß oder sonst erforderliche Genehmigungen, Bewilligungen, Erlaubnisse oder Zustimmungen beigebracht werden.</w:t>
      </w:r>
    </w:p>
    <w:p>
      <w:r>
        <w:t xml:space="preserve">(2) Von juristischen Personen des öffentlichen Rechts kann Sicherheitsleistung nur verlangt werden, wenn begründete Zweifel an ihrer Leistungsfähigkeit bestehen.</w:t>
      </w:r>
    </w:p>
    <w:p>
      <w:r>
        <w:rPr>
          <w:color w:val="555555"/>
          <w:sz w:val="17"/>
        </w:rPr>
        <w:t xml:space="preserve">Zitiervorschlag: Art 21 BayEG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