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BayEG (Bayern) — Härteausgleich</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Entstehen einem Mieter, Pächter oder sonstigen Nutzungsberechtigten, dessen Vertragsverhältnis oder Nutzungsverhältnis durch eine Enteignung auf Grund dieses Gesetzes oder auf Veranlassung des Trägers des Vorhabens durch Kündigung oder Vereinbarung beendet wird, wirtschaftliche Nachteile, die für ihn in seinen persönlichen Lebensumständen, im wirtschaftlichen oder sozialen Bereich eine besondere Härte bedeuten und für die eine Entschädigung nach diesem Gesetz nicht zu leisten ist und die auch nicht durch sonstige Maßnahmen ausgeglichen werden, kann die Enteignungsbehörde auf Antrag einen Geldausgleich festsetzen, soweit es der Billigkeit entspricht (Härteausgleich). Zur Leistung des Härteausgleichs ist der Träger des Vorhabens verpflichtet. Als Härteausgleich kommt auch die Gewährung eines zinsgünstigen Darlehens oder einer Zinsverbilligung für ein Darlehen in Betracht.</w:t>
      </w:r>
    </w:p>
    <w:p>
      <w:r>
        <w:t xml:space="preserve">(2) Ein Härteausgleich wird nicht gewährt, soweit der Antragsteller es unterlassen hat oder unterläßt, den wirtschaftlichen Nachteil durch zumutbare Maßnahmen, insbesondere unter Einsatz eigener oder fremder Mittel abzuwenden.</w:t>
      </w:r>
    </w:p>
    <w:p>
      <w:r>
        <w:t xml:space="preserve">(3) Der Antrag auf Härteausgleich ist innerhalb eines Jahres nach Beendigung des Vertragsverhältnisses zu stellen.</w:t>
      </w:r>
    </w:p>
    <w:p>
      <w:r>
        <w:rPr>
          <w:color w:val="555555"/>
          <w:sz w:val="17"/>
        </w:rPr>
        <w:t xml:space="preserve">Zitiervorschlag: Art 18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