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BayEG (Bayern) — Entschädigung durch Gewährung anderer Rechte</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es unter Abwägung der Belange der Beteiligten billig ist, kann die Entschädigung auf Antrag des Eigentümers ganz oder teilweise in Miteigentum, grundstücksgleichen Rechten, Rechten nach dem Wohnungseigentumsgesetz oder sonstigen dinglichen Rechten an diesem oder einem anderen Grundstück des Enteignungsbegünstigten festgesetzt werden. Bei Wertunterschieden zwischen den Rechten nach Satz 1 und dem zu enteignenden Grundstück gilt Art. 14 Abs. 4 entsprechend.</w:t>
      </w:r>
    </w:p>
    <w:p>
      <w:r>
        <w:t xml:space="preserve">(2) Der Antrag nach Absatz 1 ist bis zum Schluß der mündlichen Verhandlung schriftlich oder zur Niederschrift der Enteignungsbehörde oder, wenn die mündliche Verhandlung auf Grund eines Verzichts der Beteiligten entfällt, zugleich mit der Verzichtserklärung zu stellen.</w:t>
      </w:r>
    </w:p>
    <w:p>
      <w:r>
        <w:t xml:space="preserve">[Amtl. Anm.:] BGBl. FN 403-1</w:t>
      </w:r>
    </w:p>
    <w:p>
      <w:r>
        <w:rPr>
          <w:color w:val="555555"/>
          <w:sz w:val="17"/>
        </w:rPr>
        <w:t xml:space="preserve">Zitiervorschlag: Art 15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