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BayEG (Bayern) — Entschädigung in Land</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Entschädigung ist auf Antrag des Eigentümers in geeignetem Ersatzland festzusetzen, wenn dieser zur Sicherung seiner Berufstätigkeit, seiner Erwerbstätigkeit oder zur Erfüllung seiner ihm wesensgemäß obliegenden Aufgaben auf Ersatzland angewiesen ist und</w:t>
      </w:r>
    </w:p>
    <w:p>
      <w:r>
        <w:t xml:space="preserve">1. der Enteignungsbegünstigte über geeignetes Ersatzland verfügt, auf das er nicht mit seiner Berufstätigkeit, seiner Erwerbstätigkeit oder zur Erfüllung der ihm wesensgemäß obliegenden Aufgaben angewiesen ist, oder</w:t>
      </w:r>
    </w:p>
    <w:p>
      <w:r>
        <w:t xml:space="preserve">2. der Enteignungsbegünstigte geeignetes Ersatzland nach pflichtgemäßem Ermessen der Enteignungsbehörde freihändig zu angemessenen Bedingungen beschaffen kann oder</w:t>
      </w:r>
    </w:p>
    <w:p>
      <w:r>
        <w:t xml:space="preserve">3. geeignetes Ersatzland durch Enteignung nach Art. 4 beschafft werden kann.</w:t>
      </w:r>
    </w:p>
    <w:p>
      <w:r>
        <w:t xml:space="preserve">(2) Unter den Voraussetzungen der Nummern 1 bis 3 des Absatzes 1 ist die Entschädigung auf Antrag des Eigentümers auch dann in geeignetem Ersatzland festzusetzen, wenn ein Grundstück enteignet werden soll, das mit einem eigengenutzten Eigenheim oder einer eigengenutzten Kleinsiedlung bebaut ist. Das gilt nicht, wenn nach öffentlich-rechtlichen Vorschriften der Abbruch des Gebäudes jederzeit entschädigungslos gefordert werden kann.</w:t>
      </w:r>
    </w:p>
    <w:p>
      <w:r>
        <w:t xml:space="preserve">(3) Die Entschädigung kann auf Antrag des Eigentümers oder des Enteignungsbegünstigten ganz oder teilweise in Ersatzland festgesetzt werden, wenn diese Art der Entschädigung nach pflichtgemäßem Ermessen der Enteignungsbehörde unter gerechter Abwägung der Interessen der Allgemeinheit und der Beteiligten billig ist und bei dem Enteignungsbegünstigten die in Absatz 1 Nrn. 1 oder 2 genannten Voraussetzungen vorliegen.</w:t>
      </w:r>
    </w:p>
    <w:p>
      <w:r>
        <w:t xml:space="preserve">(4) Für die Bewertung des Ersatzlandes gilt Art. 10 entsprechend. Hierbei ist eine Werterhöhung zu berücksichtigen, die das übrige Grundvermögen des von der Enteignung Betroffenen durch den Erwerb des Ersatzlandes über dessen Wert nach Satz 1 hinaus erfährt. Hat das Ersatzland einen geringeren Wert als das zu enteignende Grundstück, so ist eine dem Wertunterschied entsprechende zusätzliche Geldentschädigung festzusetzen. Hat das Ersatzland einen höheren Wert als das zu enteignende Grundstück, so ist festzusetzen, daß der Entschädigungsberechtigte an den durch die Enteignung Begünstigten eine dem Wertunterschied entsprechende Ausgleichszahlung zu leisten hat. Die Ausgleichszahlung wird mit dem nach Art. 34 Abs. 6 Satz 1 in der Ausführungsanordnung festgesetzten Tag fällig.</w:t>
      </w:r>
    </w:p>
    <w:p>
      <w:r>
        <w:t xml:space="preserve">(5) Wird die Entschädigung in Land festgesetzt, so sollen dingliche oder persönliche Rechte, soweit sie nicht an dem zu enteignenden Grundstück aufrechterhalten werden, auf Antrag des Rechtsinhabers ganz oder teilweise nach Maßgabe des Art. 12 Abs. 2 ersetzt werden. Soweit das nicht möglich ist oder nicht ausreicht, sind die Inhaber der Rechte gesondert in Geld zu entschädigen; das gilt für die in Art. 12 Abs. 4 bezeichneten Berechtigten nur, soweit ihre Rechte nicht durch eine dem Eigentümer gemäß Absatz 4 zu gewährende zusätzliche Geldentschädigung gedeckt werden.</w:t>
      </w:r>
    </w:p>
    <w:p>
      <w:r>
        <w:t xml:space="preserve">(6) Statt in Ersatzland kann die Entschädigung in grundstücksgleichen Rechten oder Rechten nach dem Wohnungseigentumsgesetz festgesetzt werden, soweit diese Rechte in gleichem Maß die Berufs- oder Erwerbstätigkeit des Berechtigten oder die Erfüllung der ihm wesensgemäß obliegenden Aufgaben ermöglichen; wer die Entschädigung in solchen Rechten ablehnt, ist mit Geld abzufinden; Art. 15 bleibt unberührt.</w:t>
      </w:r>
    </w:p>
    <w:p>
      <w:r>
        <w:t xml:space="preserve">(7) Anträge nach den Absätzen 1, 2, 3 und 5 sind schriftlich oder zur Niederschrift der Enteignungsbehörde zu stellen, und zwar in den Fällen der Absätze 1 bis 3 nur vor Beginn und im Fall des Absatzes 5 nur bis zum Schluß der mündlichen Verhandlung oder, wenn die mündliche Verhandlung auf Grund eines Verzichts der Beteiligten entfällt, zugleich mit der Verzichtserklärung.</w:t>
      </w:r>
    </w:p>
    <w:p>
      <w:r>
        <w:t xml:space="preserve">(8) Hat der Eigentümer nach Absatz 1 oder 2 einen Anspruch auf Entschädigung in Ersatzland und beschafft er sich mit Zustimmung des Enteignungsbegünstigten außerhalb des Enteignungsverfahrens Ersatzland oder die in Absatz 6 bezeichneten Rechte, so hat er gegen den Enteignungsbegünstigten einen Anspruch auf Erstattung der erforderlichen Aufwendungen. Der Enteignungsbegünstigte ist nur insoweit zur Erstattung verpflichtet, als er selbst Aufwendungen erspart. Kommt eine Einigung über die Erstattung nicht zustande, so entscheidet die Enteignungsbehörde auf Antrag des Eigentümers im Enteignungsbeschluß oder in einem gesonderten Beschluß.</w:t>
      </w:r>
    </w:p>
    <w:p>
      <w:r>
        <w:t xml:space="preserve">[Amtl. Anm.:] BGBl. FN 403-1</w:t>
      </w:r>
    </w:p>
    <w:p>
      <w:r>
        <w:rPr>
          <w:color w:val="555555"/>
          <w:sz w:val="17"/>
        </w:rPr>
        <w:t xml:space="preserve">Zitiervorschlag: Art 14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