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BayEG (Bayern) — Enteignungszweck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diesem Gesetz kann enteignet werden, um Vorhaben zu verwirklichen, die dem Wohl der Allgemeinheit dienen. Unter dieser Voraussetzung kann insbesondere enteignet werden, um</w:t>
      </w:r>
    </w:p>
    <w:p>
      <w:r>
        <w:t xml:space="preserve">1. Einrichtungen zu schaffen oder zu ändern, die der Gesundheits- oder Wohlfahrtspflege oder der Körperertüchtigung dienen,</w:t>
      </w:r>
    </w:p>
    <w:p>
      <w:r>
        <w:t xml:space="preserve">2. Einrichtungen zu schaffen oder zu ändern, die Schulen, Hochschulen oder anderen Zwecken der Kultur, Wissenschaft oder Forschung dienen,</w:t>
      </w:r>
    </w:p>
    <w:p>
      <w:r>
        <w:t xml:space="preserve">3. Einrichtungen zu schaffen oder zu ändern, die der öffentlichen Ver- oder Entsorgung dienen,</w:t>
      </w:r>
    </w:p>
    <w:p>
      <w:r>
        <w:t xml:space="preserve">4. Transportleitungen zu schaffen oder zu ändern,</w:t>
      </w:r>
    </w:p>
    <w:p>
      <w:r>
        <w:t xml:space="preserve">5. Einrichtungen zur Aufrechterhaltung der öffentlichen Sicherheit zu schaffen oder zu ändern,</w:t>
      </w:r>
    </w:p>
    <w:p>
      <w:r>
        <w:t xml:space="preserve">6. Pflichtaufgaben der Bezirke, Landkreise und Gemeinden oder gesetzlich festgelegte Aufgaben von Bund, Land oder sonstigen juristischen Personen des öffentlichen Rechts zu erfüllen.</w:t>
      </w:r>
    </w:p>
    <w:p>
      <w:r>
        <w:t xml:space="preserve">(2) Nach diesem Gesetz kann ferner enteignet werden, um</w:t>
      </w:r>
    </w:p>
    <w:p>
      <w:r>
        <w:t xml:space="preserve">1. Vorhaben zu verwirklichen, für die andere Gesetze die Enteignung ausdrücklich zulassen,</w:t>
      </w:r>
    </w:p>
    <w:p>
      <w:r>
        <w:t xml:space="preserve">2. Grundstücke für eine Entschädigung in Land zu beschaffen oder</w:t>
      </w:r>
    </w:p>
    <w:p>
      <w:r>
        <w:t xml:space="preserve">3. durch Enteignung entzogene Rechte durch neue Rechte zu ersetzen.</w:t>
      </w:r>
    </w:p>
    <w:p>
      <w:r>
        <w:t xml:space="preserve">(3) Vorschriften, die Inhalt und Schranken des Eigentums bestimmen, werden durch dieses Gesetz nicht berührt.</w:t>
      </w:r>
    </w:p>
    <w:p>
      <w:r>
        <w:rPr>
          <w:color w:val="555555"/>
          <w:sz w:val="17"/>
        </w:rPr>
        <w:t xml:space="preserve">Zitiervorschlag: Art 1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