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BayEFG (Bayern) — Durchführung der Exzellenzprogramme</w:t>
      </w:r>
    </w:p>
    <w:p>
      <w:r>
        <w:rPr>
          <w:color w:val="555555"/>
          <w:sz w:val="18"/>
        </w:rPr>
        <w:t xml:space="preserve">Bayerisches Eliteförderungsgesetz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Exzellenzprogramme für die Studienförderung und die Graduierten- und Postgraduiertenförderung werden von einer dem Staatsministerium für Wissenschaft und Kunst angegliederten Geschäftsstelle koordiniert. Die Durchführung der Programme kann ganz oder teilweise auf einen Dritten übertragen werden.</w:t>
      </w:r>
    </w:p>
    <w:p>
      <w:r>
        <w:t xml:space="preserve">(2) Die Geschäftsstelle wird von einem Beirat beraten, der vom Staatsministerium für Wissenschaft und Kunst unter Beachtung einer gleichberechtigten Teilhabe von Frauen und Männern berufen wird.</w:t>
      </w:r>
    </w:p>
    <w:p>
      <w:r>
        <w:rPr>
          <w:color w:val="555555"/>
          <w:sz w:val="17"/>
        </w:rPr>
        <w:t xml:space="preserve">Zitiervorschlag: Art 4 BayEFG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https://recht.nulegal.eu/gesetze/BayEFG/4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