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BayDokZugV (Bayern) — Organisation und Kosten</w:t>
      </w:r>
    </w:p>
    <w:p>
      <w:r>
        <w:rPr>
          <w:color w:val="555555"/>
          <w:sz w:val="18"/>
        </w:rPr>
        <w:t xml:space="preserve">Bayerische Verordnung zur Zugänglichmachung von Dokumenten für blinde, erblindete und sehbehinderte Menschen im Verwaltungsverfahren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Dokumente können den Berechtigten durch die Verpflichteten selbst, durch andere Verpflichtete oder durch eine Beauftragung Dritter in einer für sie wahrnehmbaren Form zugänglich gemacht werden.</w:t>
      </w:r>
    </w:p>
    <w:p>
      <w:r>
        <w:t xml:space="preserve">(2) Die Vorschriften über die Kosten (Gebühren und Auslagen) öffentlich-rechtlicher Verwaltungstätigkeit bleiben unberührt. Auslagen für besondere Aufwendungen, die dadurch entstehen, dass den Berechtigten Dokumente in einer für sie wahrnehmbaren Form zugänglich gemacht werden, werden nicht erhoben.</w:t>
      </w:r>
    </w:p>
    <w:p>
      <w:r>
        <w:rPr>
          <w:color w:val="555555"/>
          <w:sz w:val="17"/>
        </w:rPr>
        <w:t xml:space="preserve">Zitiervorschlag: § 6 BayDokZugV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https://recht.nulegal.eu/gesetze/BayDokZugV/6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