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BayDokZugV (Bayern) — Gegenstand der Zugänglichmachung</w:t>
      </w:r>
    </w:p>
    <w:p>
      <w:r>
        <w:rPr>
          <w:color w:val="555555"/>
          <w:sz w:val="18"/>
        </w:rPr>
        <w:t xml:space="preserve">Bayerische Verordnung zur Zugänglichmachung von Dokumenten für blinde, erblindete und sehbehinderte Menschen im Verwaltungsverfahren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Anspruch nach Art. 12 Abs. 1 Satz 2 BayBGG umfasst Bescheide, öffentlich-rechtliche Verträge und Vordrucke (Dokumente) einschließlich der Anlagen, die die Dokumente in Bezug nehmen.</w:t>
      </w:r>
    </w:p>
    <w:p>
      <w:r>
        <w:rPr>
          <w:color w:val="555555"/>
          <w:sz w:val="17"/>
        </w:rPr>
        <w:t xml:space="preserve">Zitiervorschlag: § 2 BayDokZugV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https://recht.nulegal.eu/gesetze/BayDokZugV/2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