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BayDokZugV (Bayern) — Anwendungsbereich</w:t>
      </w:r>
    </w:p>
    <w:p>
      <w:r>
        <w:rPr>
          <w:color w:val="555555"/>
          <w:sz w:val="18"/>
        </w:rPr>
        <w:t xml:space="preserve">Bayerische Verordnung zur Zugänglichmachung von Dokumenten für blinde, erblindete und sehbehinderte Menschen im Verwaltungsverfahren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Verordnung gilt für alle natürlichen Personen, die als Beteiligte eines Verwaltungsverfahrens wegen Blindheit, Erblindung oder einer anderen Sehbehinderung nach Maßgabe von Art. 2 BayBGG zur Wahrnehmung eigener Rechte einen Anspruch darauf haben, dass ihnen Dokumente in einer für sie wahrnehmbaren Form zugänglich gemacht werden (Berechtigte).</w:t>
      </w:r>
    </w:p>
    <w:p>
      <w:r>
        <w:t xml:space="preserve">(2) Die Berechtigten können ihren Anspruch aus Art. 12 Abs. 1 Satz 2 BayBGG gegenüber jedem Träger öffentlicher Gewalt im Sinn des Art. 9 Abs. 1 Satz 1 BayBGG, dem Bayerischen Rundfunk und der Landeszentrale für neue Medien (Verpflichtete) sowie gegenüber den Staatsanwaltschaften, soweit diese ein Verwaltungsverfahren durchführen, geltend machen.</w:t>
      </w:r>
    </w:p>
    <w:p>
      <w:r>
        <w:t xml:space="preserve">(3) Auf das Bußgeldverfahren findet diese Verordnung keine Anwendung.</w:t>
      </w:r>
    </w:p>
    <w:p>
      <w:r>
        <w:rPr>
          <w:color w:val="555555"/>
          <w:sz w:val="17"/>
        </w:rPr>
        <w:t xml:space="preserve">Zitiervorschlag: § 1 BayDokZugV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https://recht.nulegal.eu/gesetze/BayDokZugV/1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