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BayDohaDegV (Bayern)</w:t>
      </w:r>
    </w:p>
    <w:p>
      <w:r>
        <w:rPr>
          <w:color w:val="555555"/>
          <w:sz w:val="18"/>
        </w:rPr>
        <w:t xml:space="preserve">Verordnung zur Übertragung von Aufgaben nach dem Bundesbaugesetz auf den Zweckverband Donau-Hafen Deggendorf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Befugnis zur Aufstellung von Bebauungsplänen für den in der Verbandssatzung des Zweckverbandes Donau-Hafen Deggendorf - Zweckverband - (Bekanntmachung der Regierung von Niederbayern vom 7. April 1982 Nr. 230 – 4378 c 7 – 9, RABl S. 35) festgelegten räumlichen Wirkungsbereich wird auf den Zweckverband übertragen.</w:t>
      </w:r>
    </w:p>
    <w:p>
      <w:r>
        <w:rPr>
          <w:color w:val="555555"/>
          <w:sz w:val="17"/>
        </w:rPr>
        <w:t xml:space="preserve">Zitiervorschlag: § 1 BayDohaDegV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https://recht.nulegal.eu/gesetze/BayDohaDegV/1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