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BayDienstAVSG (Bayern)</w:t>
      </w:r>
    </w:p>
    <w:p>
      <w:r>
        <w:rPr>
          <w:color w:val="555555"/>
          <w:sz w:val="18"/>
        </w:rPr>
        <w:t xml:space="preserve">Verordnung über die Führung der Dienstaufsicht über die Gerichte der Sozialgerichtsbarkeit und über die Festsetzung der Zahl und die Berufung der Sozialrichter und Landessozialrichter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§ 9 Abs. 3, § 13 Abs. 1, § 30 Abs. 2 und § 35 Abs. 1 Satz 2 des Sozialgerichtsgesetzes (SGG) und Art. 78 Abs. 2 des Bayerischen Richtergesetzes vom 26. Februar 1965 (GVBl. S. 13) erläßt die Bayerische Staatsregierung folgende Verordnung:</w:t>
      </w:r>
    </w:p>
    <w:p>
      <w:r>
        <w:rPr>
          <w:color w:val="555555"/>
          <w:sz w:val="17"/>
        </w:rPr>
        <w:t xml:space="preserve">Zitiervorschlag: Eingangsformel BayDienstAVSG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https://recht.nulegal.eu/gesetze/BayDienstAVSG/eingangsformel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