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BayDiV (Bayern)</w:t>
      </w:r>
    </w:p>
    <w:p>
      <w:r>
        <w:rPr>
          <w:color w:val="555555"/>
          <w:sz w:val="18"/>
        </w:rPr>
        <w:t xml:space="preserve">Verordnung über die Digitalisierung im Freistaat Bayern (Bayerische Digitalverordnung – BayDiV)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11. Juli 2023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t xml:space="preserve">Bayerisches Staatsministerium für Digitales</w:t>
      </w:r>
    </w:p>
    <w:p>
      <w:r>
        <w:t xml:space="preserve">Judith Gerlach, Staatsministerin</w:t>
      </w:r>
    </w:p>
    <w:p>
      <w:r>
        <w:rPr>
          <w:color w:val="555555"/>
          <w:sz w:val="17"/>
        </w:rPr>
        <w:t xml:space="preserve">Zitiervorschlag: Schlussformel BayDiV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https://recht.nulegal.eu/gesetze/BayDiV/schlussformel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