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BayDiV (Bayern) — Barrierefreie Angebote der Informationstechnik</w:t>
      </w:r>
    </w:p>
    <w:p>
      <w:r>
        <w:rPr>
          <w:color w:val="555555"/>
          <w:sz w:val="18"/>
        </w:rPr>
        <w:t xml:space="preserve">Verordnung über die Digitalisierung im Freistaat Bayern (Bayerische Digitalverordnung – BayDiV)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in Art. 14 Abs. 1 Satz 1 des Bayerischen Behindertengleichstellungsgesetzes (BayBGG) umschriebenen Angebote der Informationstechnik sind so zu gestalten, dass sie die in § 3 Abs. 1 der Barrierefreien-Informationstechnik-Verordnung (BITV 2.0) aufgeführten Anforderungen und Bedingungen erfüllen. § 3 Abs. 2 bis 4 BITV 2.0 gilt entsprechend. Für Websites und mobile Anwendungen im Sinne des Art. 1 der Richtlinie (EU) 2016/2102 öffentlicher Stellen im Sinne des Art. 3 Nr. 1 der Richtlinie (EU) 2016/2102 gelten die Sätze 1 und 2 entsprechend.</w:t>
      </w:r>
    </w:p>
    <w:p>
      <w:r>
        <w:t xml:space="preserve">(2) Auf den Startseiten von Websites von</w:t>
      </w:r>
    </w:p>
    <w:p>
      <w:r>
        <w:t xml:space="preserve">1. Trägern öffentlicher Gewalt im Sinne des Art. 9 Abs. 1 BayBGG, mit Ausnahme</w:t>
      </w:r>
    </w:p>
    <w:p>
      <w:r>
        <w:t xml:space="preserve">a) der Gemeinden,</w:t>
      </w:r>
    </w:p>
    <w:p>
      <w:r>
        <w:t xml:space="preserve">b) der Gemeindeverbände,</w:t>
      </w:r>
    </w:p>
    <w:p>
      <w:r>
        <w:t xml:space="preserve">c) der Landratsämter und</w:t>
      </w:r>
    </w:p>
    <w:p>
      <w:r>
        <w:t xml:space="preserve">d) der sonstigen der Aufsicht des Freistaates Bayern unterstehenden juristischen Personen des öffentlichen Rechts,</w:t>
      </w:r>
    </w:p>
    <w:p>
      <w:r>
        <w:t xml:space="preserve">2. Gerichten und</w:t>
      </w:r>
    </w:p>
    <w:p>
      <w:r>
        <w:t xml:space="preserve">3. Staatsanwaltschaften</w:t>
      </w:r>
    </w:p>
    <w:p>
      <w:r>
        <w:t xml:space="preserve">sind bei Neuveröffentlichung zusätzliche Inhalte gemäß Anlage 2 BITV 2.0 in Deutscher Gebärdensprache und in Leichter Sprache bereitzustellen. Sie umfassen</w:t>
      </w:r>
    </w:p>
    <w:p>
      <w:r>
        <w:t xml:space="preserve">1. Informationen zu den wesentlichen Inhalten,</w:t>
      </w:r>
    </w:p>
    <w:p>
      <w:r>
        <w:t xml:space="preserve">2. Hinweise der Navigation und</w:t>
      </w:r>
    </w:p>
    <w:p>
      <w:r>
        <w:t xml:space="preserve">3. Hinweise auf weitere Informationen, die in diesem Auftritt entweder in Deutscher Gebärdensprache oder in Leichter Sprache eingestellt sind.</w:t>
      </w:r>
    </w:p>
    <w:p>
      <w:r>
        <w:t xml:space="preserve">Gemeinden, Gemeindeverbänden, Landratsämtern und sonstigen der Aufsicht des Freistaates Bayern unterstehenden juristischen Personen des öffentlichen Rechts wird die Bereitstellung empfohlen.</w:t>
      </w:r>
    </w:p>
    <w:p>
      <w:r>
        <w:t xml:space="preserve">(3) Schulen, Kindertageseinrichtungen und Großtagespflegestellen wird empfohlen, gemäß den Abs. 1 und 2 zu verfahren. Abs. 1 Satz 2 gilt, soweit sich die Inhalte auf wesentliche Online-Verwaltungsfunktionen beziehen.</w:t>
      </w:r>
    </w:p>
    <w:p>
      <w:r>
        <w:t xml:space="preserve">(4) Öffentliche Stellen können von einem barrierefreien Angebot im Sinne dieser Vorschrift im Einzelfall absehen, soweit die Einhaltung der Barrierefreiheitsanforderungen eine unverhältnismäßige Belastung darstellt.</w:t>
      </w:r>
    </w:p>
    <w:p>
      <w:r>
        <w:rPr>
          <w:color w:val="555555"/>
          <w:sz w:val="17"/>
        </w:rPr>
        <w:t xml:space="preserve">Zitiervorschlag: § 9 BayDiV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