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BayDiV (Bayern) — Empfang und Verarbeitung elektronischer Rechnungen</w:t>
      </w:r>
    </w:p>
    <w:p>
      <w:r>
        <w:rPr>
          <w:color w:val="555555"/>
          <w:sz w:val="18"/>
        </w:rPr>
        <w:t xml:space="preserve">Verordnung über die Digitalisierung im Freistaat Bayern (Bayerische Digitalverordnung – BayDiV)</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Art. 18 Abs. 2 Satz 1 BayDiG geregelte Pflicht zum Empfang und zur Verarbeitung elektronischer Rechnungen setzt voraus, dass</w:t>
      </w:r>
    </w:p>
    <w:p>
      <w:r>
        <w:t xml:space="preserve">1. der Wert des vergebenen öffentlichen Auftrags, der Wert des vergebenen Auftrags oder der Vertragswert der vergebenen Konzession den Betrag von 1 000 € ohne Umsatzsteuer erreicht oder überschreitet,</w:t>
      </w:r>
    </w:p>
    <w:p>
      <w:r>
        <w:t xml:space="preserve">2. die elektronische Rechnung in einem Datenaustauschstandard ausgestellt ist, der der europäischen Norm EN 16931-1:2017 und einer der in dem Anhang zu dem Durchführungsbeschluss (EU) 2017/1870 genannten Syntaxen entspricht, und</w:t>
      </w:r>
    </w:p>
    <w:p>
      <w:r>
        <w:t xml:space="preserve">3. die elektronische Rechnung</w:t>
      </w:r>
    </w:p>
    <w:p>
      <w:r>
        <w:t xml:space="preserve">a) ein durch den Rechnungsempfänger vorgegebenes Identifikationskennzeichen,</w:t>
      </w:r>
    </w:p>
    <w:p>
      <w:r>
        <w:t xml:space="preserve">b) die Zahlungsbedingungen,</w:t>
      </w:r>
    </w:p>
    <w:p>
      <w:r>
        <w:t xml:space="preserve">c) die Bankverbindungsdaten des Zahlungsempfängers und</w:t>
      </w:r>
    </w:p>
    <w:p>
      <w:r>
        <w:t xml:space="preserve">d) eine E-Mail-Adresse des Rechnungsstellers</w:t>
      </w:r>
    </w:p>
    <w:p>
      <w:r>
        <w:t xml:space="preserve">enthält.</w:t>
      </w:r>
    </w:p>
    <w:p>
      <w:r>
        <w:t xml:space="preserve">Die Voraussetzung nach Satz 1 Nr. 2 gilt als erfüllt, wenn die elektronische Rechnung den Anforderungen gemäß der Bekanntmachung des Standards XRechnung (Version XRechnung 2.0.1) des Bundesministeriums des Innern, für Bau und Heimat vom 12. Januar 2021 (BAnz AT 05. Februar 2021 B1) in der jeweils geltenden Fassung entspricht.</w:t>
      </w:r>
    </w:p>
    <w:p>
      <w:r>
        <w:t xml:space="preserve">(2) Elektronische Rechnungen, bei denen die Voraussetzungen nach Abs. 1 Satz 1 nicht erfüllt sind, können unverzüglich zurückgewiesen werden. Sie gelten im Falle der Zurückweisung als nicht zugegangen.</w:t>
      </w:r>
    </w:p>
    <w:p>
      <w:r>
        <w:rPr>
          <w:color w:val="555555"/>
          <w:sz w:val="17"/>
        </w:rPr>
        <w:t xml:space="preserve">Zitiervorschlag: § 8 BayDiV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