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BayDiV (Bayern) — Inkrafttreten, Außerkrafttreten</w:t>
      </w:r>
    </w:p>
    <w:p>
      <w:r>
        <w:rPr>
          <w:color w:val="555555"/>
          <w:sz w:val="18"/>
        </w:rPr>
        <w:t xml:space="preserve">Verordnung über die Digitalisierung im Freistaat Bayern (Bayerische Digitalverordnung – BayDiV)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August 2023 in Kraft.</w:t>
      </w:r>
    </w:p>
    <w:p>
      <w:r>
        <w:t xml:space="preserve">(2) § 12 Abs. 2 tritt mit Ablauf des 31. Dezember 2026 außer Kraft.</w:t>
      </w:r>
    </w:p>
    <w:p>
      <w:r>
        <w:rPr>
          <w:color w:val="555555"/>
          <w:sz w:val="17"/>
        </w:rPr>
        <w:t xml:space="preserve">Zitiervorschlag: § 17 BayDiV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