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BayDiV (Bayern) — Übergangsvorschrift</w:t>
      </w:r>
    </w:p>
    <w:p>
      <w:r>
        <w:rPr>
          <w:color w:val="555555"/>
          <w:sz w:val="18"/>
        </w:rPr>
        <w:t xml:space="preserve">Verordnung über die Digitalisierung im Freistaat Bayern (Bayerische Digitalverordnung – BayDiV)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Zertifizierungen, die nach § 4 Abs. 1 Satz 1 Nr. 2 der Bayerischen E-Government-Verordnung vom Staatsministerium der Finanzen und für Heimat vorgenommen wurden, bleiben unberührt.</w:t>
      </w:r>
    </w:p>
    <w:p>
      <w:r>
        <w:rPr>
          <w:color w:val="555555"/>
          <w:sz w:val="17"/>
        </w:rPr>
        <w:t xml:space="preserve">Zitiervorschlag: § 16 BayDiV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https://recht.nulegal.eu/gesetze/BayDiV/16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