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BayDiV (Bayern) — Bearbeitung der elektronischen Bußgeldakte</w:t>
      </w:r>
    </w:p>
    <w:p>
      <w:r>
        <w:rPr>
          <w:color w:val="555555"/>
          <w:sz w:val="18"/>
        </w:rPr>
        <w:t xml:space="preserve">Verordnung über die Digitalisierung im Freistaat Bayern (Bayerische Digitalverordnung – BayDiV)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Elektronische Dokumente sowie sonstige Dateien und Informationen gelten als zur Akte genommen, wenn sie bewusst und dauerhaft in der elektronischen Bußgeldakte gespeichert worden sind.</w:t>
      </w:r>
    </w:p>
    <w:p>
      <w:r>
        <w:t xml:space="preserve">(2) Es ist sicherzustellen, dass in der elektronischen Bußgeldakte alle Bearbeitungsvorgänge nachvollzogen werden können. Es ist insbesondere sicherzustellen, dass nachvollzogen werden kann, welche Stelle die Bußgeldakte zu welchem Zeitpunkt bearbeitet hat.</w:t>
      </w:r>
    </w:p>
    <w:p>
      <w:r>
        <w:t xml:space="preserve">(3) Es ist sicherzustellen, dass die elektronische Bußgeldakte nur von der jeweils lese- und schreibberechtigten Stelle eingesehen und bearbeitet werden kann. Dies gilt auch, wenn die Lese- und Schreibrechte nur teilweise auf eine andere Stelle übergehen.</w:t>
      </w:r>
    </w:p>
    <w:p>
      <w:r>
        <w:rPr>
          <w:color w:val="555555"/>
          <w:sz w:val="17"/>
        </w:rPr>
        <w:t xml:space="preserve">Zitiervorschlag: § 14 BayDiV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https://recht.nulegal.eu/gesetze/BayDiV/14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