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BayDiV (Bayern) — Durchsetzung und Überwachung</w:t>
      </w:r>
    </w:p>
    <w:p>
      <w:r>
        <w:rPr>
          <w:color w:val="555555"/>
          <w:sz w:val="18"/>
        </w:rPr>
        <w:t xml:space="preserve">Verordnung über die Digitalisierung im Freistaat Bayern (Bayerische Digitalverordnung – BayDiV)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für Digitalisierung, Breitband und Vermessung (Landesamt) überwacht nach Maßgabe der nach Art. 8 Abs. 2 Satz 1 der Richtlinie (EU) 2016/2102 erlassenen Durchführungsrechtsakte die Einhaltung der Verpflichtungen nach § 9 Abs. 1 Satz 3 und § 10.</w:t>
      </w:r>
    </w:p>
    <w:p>
      <w:r>
        <w:t xml:space="preserve">(2) Bleibt eine Anfrage über die Kontaktmöglichkeit nach § 10 Satz 3 innerhalb von sechs Wochen ganz oder teilweise unbeantwortet, prüft das Landesamt auf Antrag des Nutzers, ob im Rahmen der Überwachung nach Abs. 1 gegenüber dem Verpflichteten Maßnahmen erforderlich sind. Satz 1 gilt entsprechend, wenn der Nutzer geltend macht, dass sich ein nach § 9 Abs. 1 Satz 3 Verpflichteter zu Unrecht auf eine Ausnahme nach § 9 Abs. 4 beruft.</w:t>
      </w:r>
    </w:p>
    <w:p>
      <w:r>
        <w:t xml:space="preserve">(3) Das Landesamt berichtet alle drei Jahre an die für die Überwachung nach Richtlinie (EU) 2016/2102 zuständige Stelle des Bundes. Für die Berichterstattung gilt Art. 8 Abs. 4, 5 und 6 Satz 2 der Richtlinie (EU) 2016/2102 erlassenen Durchführungsrechtsakte entsprechend.</w:t>
      </w:r>
    </w:p>
    <w:p>
      <w:r>
        <w:rPr>
          <w:color w:val="555555"/>
          <w:sz w:val="17"/>
        </w:rPr>
        <w:t xml:space="preserve">Zitiervorschlag: § 11 BayDiV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