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BayDiV (Bayern) — Elektronischer Schriftformersatz</w:t>
      </w:r>
    </w:p>
    <w:p>
      <w:r>
        <w:rPr>
          <w:color w:val="555555"/>
          <w:sz w:val="18"/>
        </w:rPr>
        <w:t xml:space="preserve">Verordnung über die Digitalisierung im Freistaat Bayern (Bayerische Digitalverordnung – BayDiV)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Eine durch Rechtsvorschrift angeordnete Schriftform kann ersetzt werden, wenn</w:t>
      </w:r>
    </w:p>
    <w:p>
      <w:r>
        <w:t xml:space="preserve">1. der Beteiligte anhand der dazu erforderlichen Daten sicher identifiziert ist, indem</w:t>
      </w:r>
    </w:p>
    <w:p>
      <w:r>
        <w:t xml:space="preserve">a) seine Identität</w:t>
      </w:r>
    </w:p>
    <w:p>
      <w:r>
        <w:t xml:space="preserve">aa) mit dem Melderegister oder einer anderen verlässlichen Quelle im Sinne der Nr. 1 des Anhangs der Durchführungsverordnung (EU) 2015/1502 abgeglichen oder</w:t>
      </w:r>
    </w:p>
    <w:p>
      <w:r>
        <w:t xml:space="preserve">bb) durch persönliches Erscheinen und Vorlage eines amtlichen Lichtbildausweises bei einer Behörde festgestellt</w:t>
      </w:r>
    </w:p>
    <w:p>
      <w:r>
        <w:t xml:space="preserve">wurde und</w:t>
      </w:r>
    </w:p>
    <w:p>
      <w:r>
        <w:t xml:space="preserve">b) ihm die für die Erzeugung des Authentifizierungsmittels erforderlichen Parameter anschließend auf dem Postweg übermittelt oder persönlich ausgehändigt wurden,</w:t>
      </w:r>
    </w:p>
    <w:p>
      <w:r>
        <w:t xml:space="preserve">2. das verwendete Authentifizierungsverfahren vom Staatsministerium für Digitales (Staatsministerium) zertifiziert und als solches bekannt gemacht ist,</w:t>
      </w:r>
    </w:p>
    <w:p>
      <w:r>
        <w:t xml:space="preserve">3. die Erklärung unmittelbar in einem elektronischen Formular oder über eine elektronische Schnittstelle abgegeben wird, die von der Behörde für den Zweck dieser Erklärung zur Verfügung gestellt werden und</w:t>
      </w:r>
    </w:p>
    <w:p>
      <w:r>
        <w:t xml:space="preserve">4. die Integrität und Vertraulichkeit des übermittelten Datensatzes durch technische Maßnahmen gewährleistet wird, die die gesetzlichen Anforderungen an die Sicherheit der verarbeiteten Daten erfüllen.</w:t>
      </w:r>
    </w:p>
    <w:p>
      <w:r>
        <w:t xml:space="preserve">Anstelle von Satz 1 Nr. 1 Buchst. b kann die Behörde in den Fällen des Satzes 1 Nr. 1 Buchst. a Doppelbuchst. bb auch ein Authentifizierungsmittel freischalten.</w:t>
      </w:r>
    </w:p>
    <w:p>
      <w:r>
        <w:rPr>
          <w:color w:val="555555"/>
          <w:sz w:val="17"/>
        </w:rPr>
        <w:t xml:space="preserve">Zitiervorschlag: § 1 BayDiV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https://recht.nulegal.eu/gesetze/BayDiV/1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