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BayDiG (Bayern) — Nachhaltigkeit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Rahmen der Wirtschaftlichkeit und Zweckmäßigkeit sind staatliche Behörden verpflichtet, bei ihrer digitalen Aufgabenerfüllung Aspekte der Ökologie und der Nachhaltigkeit zu berücksichtigen, insbesondere</w:t>
      </w:r>
    </w:p>
    <w:p>
      <w:r>
        <w:t xml:space="preserve">1. bei der Beschaffung der IT-Infrastruktur auf eine Wiederverwertbarkeit der Rohstoffe, auf hohe Energieeffizienz sowie auf umweltgerechtes Verpackungsmaterial zu achten,</w:t>
      </w:r>
    </w:p>
    <w:p>
      <w:r>
        <w:t xml:space="preserve">2. bei der Server-Betreuung und beim Server-Betrieb auf Energieeffizienz und -sparsamkeit zu achten,</w:t>
      </w:r>
    </w:p>
    <w:p>
      <w:r>
        <w:t xml:space="preserve">3. für eine umweltgerechte Entsorgung der IT-Infrastruktur Sorge zu tragen,</w:t>
      </w:r>
    </w:p>
    <w:p>
      <w:r>
        <w:t xml:space="preserve">4. bei Beschaffung, Entwicklung und Einsatz von Software und mobilen Applikationen auf Energieeffizienz hinzuwirken,</w:t>
      </w:r>
    </w:p>
    <w:p>
      <w:r>
        <w:t xml:space="preserve">5. nach Möglichkeit auf Dienstreisen zu verzichten und sie durch digitale Formen der Zusammenarbeit zu ersetzen.</w:t>
      </w:r>
    </w:p>
    <w:p>
      <w:r>
        <w:t xml:space="preserve">Den Gemeinden und Gemeindeverbänden und den sonstigen unter der Aufsicht des Freistaates Bayern stehenden juristischen Personen des öffentlichen Rechts wird die Berücksichtigung von Nachhaltigkeitsaspekten gemäß Satz 1 empfohlen.</w:t>
      </w:r>
    </w:p>
    <w:p>
      <w:r>
        <w:rPr>
          <w:color w:val="555555"/>
          <w:sz w:val="17"/>
        </w:rPr>
        <w:t xml:space="preserve">Zitiervorschlag: Art 6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