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BayDiG (Bayern) — Errichtung der BayKommun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besteht eine rechtsfähige Anstalt des öffentlichen Rechts mit der Bezeichnung „BayKommun“.</w:t>
      </w:r>
    </w:p>
    <w:p>
      <w:r>
        <w:t xml:space="preserve">(2) Gemeinsame Träger der BayKommun sind der Freistaat Bayern sowie die Gemeinden, Landkreise und Bezirke.</w:t>
      </w:r>
    </w:p>
    <w:p>
      <w:r>
        <w:t xml:space="preserve">(3) Weitere Träger können mit Zustimmung der in Abs. 2 genannten Träger durch öffentlich-rechtlichen Vertrag aufgenommen werden.</w:t>
      </w:r>
    </w:p>
    <w:p>
      <w:r>
        <w:rPr>
          <w:color w:val="555555"/>
          <w:sz w:val="17"/>
        </w:rPr>
        <w:t xml:space="preserve">Zitiervorschlag: Art 52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