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BayDiG (Bayern) — Datenübermittlung</w:t>
      </w:r>
    </w:p>
    <w:p>
      <w:r>
        <w:rPr>
          <w:color w:val="555555"/>
          <w:sz w:val="18"/>
        </w:rPr>
        <w:t xml:space="preserve">Bayerisches Digitalgesetz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übermittelt Daten nach Art. 48 Abs. 2 bis 4 an die für den Betrieb der Informations- und Kommunikationstechnik verantwortlichen Stellen, wenn und soweit dies zur Abwehr oder Beseitigung von Gefahren für die Vertraulichkeit, Verfügbarkeit und Integrität der Daten in der Informations- und Kommunikationsinfrastruktur erforderlich ist.</w:t>
      </w:r>
    </w:p>
    <w:p>
      <w:r>
        <w:t xml:space="preserve">(2) Das Landesamt soll Daten nach Art. 48 Abs. 2 bis 4 unverzüglich übermitteln</w:t>
      </w:r>
    </w:p>
    <w:p>
      <w:r>
        <w:t xml:space="preserve">1. an die Polizei und sonstigen Sicherheitsbehörden zur Verhütung und Unterbindung von in Nr. 2 genannten Straftaten sowie zur Abwehr von Gefahren für Leib, Leben oder Freiheit einer Person; Art. 24 des Bayerischen Verfassungsschutzgesetzes bleibt unberührt; und</w:t>
      </w:r>
    </w:p>
    <w:p>
      <w:r>
        <w:t xml:space="preserve">2. an die Strafverfolgungsbehörden zur Verfolgung einer Straftat,</w:t>
      </w:r>
    </w:p>
    <w:p>
      <w:r>
        <w:t xml:space="preserve">a) soweit die Tatsachen, aus denen sich eine Gefahr für die Informationstechnik oder der diesbezügliche Verdacht ergibt, den Verdacht einer Straftat begründen oder</w:t>
      </w:r>
    </w:p>
    <w:p>
      <w:r>
        <w:t xml:space="preserve">b) soweit bestimmte Tatsachen den Verdacht begründen, dass jemand als Täter oder Teilnehmer eine Straftat von auch im Einzelfall erheblicher Bedeutung, insbesondere eine in § 100a Abs. 2 StPO bezeichnete Straftat begangen hat, in Fällen, in denen der Versuch strafbar ist, zu begehen versucht oder durch eine Straftat vorbereitet hat.</w:t>
      </w:r>
    </w:p>
    <w:p>
      <w:r>
        <w:t xml:space="preserve">Näheres regeln Verwaltungsvorschriften, die das Staatsministerium der Finanzen und für Heimat im Einvernehmen mit dem Staatsministerium des Innern, für Sport und Integration und dem Staatsministerium der Justiz festlegt.</w:t>
      </w:r>
    </w:p>
    <w:p>
      <w:r>
        <w:rPr>
          <w:color w:val="555555"/>
          <w:sz w:val="17"/>
        </w:rPr>
        <w:t xml:space="preserve">Zitiervorschlag: Art 49 BayDiG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