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18 BayDiG (Bayern) — Zahlungsabwicklung und Rechnungen</w:t>
      </w:r>
    </w:p>
    <w:p>
      <w:r>
        <w:rPr>
          <w:color w:val="555555"/>
          <w:sz w:val="18"/>
        </w:rPr>
        <w:t xml:space="preserve">Bayerisches Digitalgesetz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Geldansprüche öffentlicher Kassen können unbar beglichen werden, solange kein sofortiges anderes Vollstreckungsinteresse besteht. Die Behörden bieten hierfür integrierte digitale Zahlungsmöglichkeiten an, soweit dies wirtschaftlich und zweckmäßig ist.</w:t>
      </w:r>
    </w:p>
    <w:p>
      <w:r>
        <w:t xml:space="preserve">(2) Alle Auftraggeber im Sinne von § 98 des Gesetzes gegen Wettbewerbsbeschränkungen stellen den Empfang und die Verarbeitung digitaler Rechnungen sicher, soweit</w:t>
      </w:r>
    </w:p>
    <w:p>
      <w:r>
        <w:t xml:space="preserve">1. für sie eine Vergabekammer des Freistaates Bayern zuständig ist,</w:t>
      </w:r>
    </w:p>
    <w:p>
      <w:r>
        <w:t xml:space="preserve">2. sie im Rahmen der Organleihe für den Bund tätig werden oder</w:t>
      </w:r>
    </w:p>
    <w:p>
      <w:r>
        <w:t xml:space="preserve">3. dies durch Rechtsverordnung der Staatsregierung vorgesehen ist.</w:t>
      </w:r>
    </w:p>
    <w:p>
      <w:r>
        <w:t xml:space="preserve">Eine Rechnung ist digital, wenn sie in einem strukturierten digitalen Format ausgestellt, übermittelt und empfangen werden kann, das ihre automatische und digitale Verarbeitung ermöglicht.</w:t>
      </w:r>
    </w:p>
    <w:p>
      <w:r>
        <w:rPr>
          <w:color w:val="555555"/>
          <w:sz w:val="17"/>
        </w:rPr>
        <w:t xml:space="preserve">Zitiervorschlag: Art 18 BayDiG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https://recht.nulegal.eu/gesetze/BayDiG/18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