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BayDiG (Bayern) — Digitale Selbstbestimmung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Freistaat Bayern fördert die digitale Selbstbestimmung und stellt hierzu nutzerfreundliche und barrierefreie digitale Dienste bereit. Die Nutzer sollen in die Entwicklung neuer digitaler Angebote des Freistaates Bayern einbezogen werden.</w:t>
      </w:r>
    </w:p>
    <w:p>
      <w:r>
        <w:t xml:space="preserve">(2) Der Freistaat Bayern fördert geeignete Maßnahmen zur Stärkung der digitalen Grundkompetenzen von natürlichen und juristischen Personen. Der Freistaat Bayern fördert geeignete Qualifizierungsmaßnahmen zur digitalen Barrierefreiheit.</w:t>
      </w:r>
    </w:p>
    <w:p>
      <w:r>
        <w:rPr>
          <w:color w:val="555555"/>
          <w:sz w:val="17"/>
        </w:rPr>
        <w:t xml:space="preserve">Zitiervorschlag: Art 10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