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BayDSchG (Bayern) — Erhaltung von Baudenkmälern</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Eigentümer und die sonst dinglich Verfügungsberechtigten von Baudenkmälern haben ihre Baudenkmäler instandzuhalten, instandzusetzen, sachgemäß zu behandeln und vor Gefährdung zu schützen, soweit ihnen das zuzumuten ist. Ist der Eigentümer oder der sonst dinglich Verfügungsberechtigte nicht der unmittelbare Besitzer, so gilt Satz 1 auch für den unmittelbaren Besitzer, soweit dieser die Möglichkeit hat, entsprechend zu verfahren.</w:t>
      </w:r>
    </w:p>
    <w:p>
      <w:r>
        <w:t xml:space="preserve">(2) Die in Abs. 1 genannten Personen können verpflichtet werden, bestimmte Erhaltungsmaßnahmen ganz oder zum Teil durchzuführen, soweit ihnen das insbesondere unter Berücksichtigung ihrer sonstigen Aufgaben und Verpflichtungen zumutbar ist; soweit sie die Maßnahmen nicht selbst durchzuführen haben, können sie zur Duldung der Maßnahmen verpflichtet werden. Entscheidungen, durch die der Bund oder die Länder verpflichtet werden sollen, bedürfen der vorherigen Zustimmung der Obersten Denkmalschutzbehörde.</w:t>
      </w:r>
    </w:p>
    <w:p>
      <w:r>
        <w:t xml:space="preserve">(3) Macht der Zustand eines Baudenkmals Maßnahmen zu seiner Instandhaltung, Instandsetzung oder zu seinem Schutz erforderlich, ohne daß eine vollstreckbare Entscheidung nach Abs. 2 vorliegt, so kann die zuständige Denkmalschutzbehörde die Maßnahmen durchführen oder durchführen lassen. Die dinglich und obligatorisch Berechtigten können zur Duldung der Maßnahmen verpflichtet werden. Die Kosten der Maßnahmen tragen die in Abs. 1 genannten Personen, soweit sie nach Abs. 2 zur Durchführung der Maßnahmen verpflichtet wurden oder hätten verpflichtet werden können, im übrigen der Entschädigungsfonds.</w:t>
      </w:r>
    </w:p>
    <w:p>
      <w:r>
        <w:t xml:space="preserve">(4) Handlungen, die ein Baudenkmal schädigen oder gefährden, können untersagt werden.</w:t>
      </w:r>
    </w:p>
    <w:p>
      <w:r>
        <w:rPr>
          <w:color w:val="555555"/>
          <w:sz w:val="17"/>
        </w:rPr>
        <w:t xml:space="preserve">Zitiervorschlag: Art 4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