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BayDSchG (Bayern) — Inkrafttreten, Außerkrafttreten</w:t>
      </w:r>
    </w:p>
    <w:p>
      <w:r>
        <w:rPr>
          <w:color w:val="555555"/>
          <w:sz w:val="18"/>
        </w:rPr>
        <w:t xml:space="preserve">Bayerisches Denkmalschutzgesetz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Oktober 1973 in Kraft.</w:t>
      </w:r>
    </w:p>
    <w:p>
      <w:r>
        <w:t xml:space="preserve">(2) Art. 6 Abs. 7 sowie Art. 7 Abs. 5 Satz 3 Nr. 1 und Satz 4 treten mit Ablauf des 31. Dezember 2035 außer Kraft.</w:t>
      </w:r>
    </w:p>
    <w:p>
      <w:r>
        <w:t xml:space="preserve">[Amtl. Anm.:] Betrifft die ursprüngliche Fassung vom 25. Juni 1973 (GVBl S. 328).</w:t>
      </w:r>
    </w:p>
    <w:p>
      <w:r>
        <w:rPr>
          <w:color w:val="555555"/>
          <w:sz w:val="17"/>
        </w:rPr>
        <w:t xml:space="preserve">Zitiervorschlag: Art 25 BayDSchG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https://recht.nulegal.eu/gesetze/BayDSchG/25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