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BayDSchG (Bayern) — Militärgelände, Verteidigungsgüter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dauerhaft militärisch genutzten Grundstücken, die im Eigentum des Bundes stehen oder deren militärische Nutzung dinglich gesichert ist (Militärgelände), liegen die der Landes- und Bündnisverteidigung dienenden Vorhaben und eine den jeweils aktuellen militärischen Anforderungen entsprechende Nutzung vorhandener Baudenkmäler im überragenden öffentlichen Interesse. Abweichend von Art. 4 Abs. 2 und 3, Art. 5 und 6 ist das Landesamt für Denkmalpflege vor entsprechenden Maßnahmen zu beteiligen und seine Stellungnahme maßgeblich zu berücksichtigen.</w:t>
      </w:r>
    </w:p>
    <w:p>
      <w:r>
        <w:t xml:space="preserve">(2) Der Denkmalschutz muss im Interesse der Verteidigungsfähigkeit Deutschlands die Belange der Forschung, Erprobung und Herstellung von Verteidigungsgütern oder verteidigungsrelevanten Technologien der Luft- und Raumfahrt maßgeblich berücksichtigen und abwägen.</w:t>
      </w:r>
    </w:p>
    <w:p>
      <w:r>
        <w:rPr>
          <w:color w:val="555555"/>
          <w:sz w:val="17"/>
        </w:rPr>
        <w:t xml:space="preserve">Zitiervorschlag: Art 24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