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BayDSchG (Bayern) — Kirchliche Denkmäler</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Art. 10 §§ 3 und 4 des Konkordats mit dem Heiligen Stuhl vom 29. März 1924 und Art. 18 und 19 des Vertrags zwischen dem Freistaat Bayern und der Evangelisch-Lutherischen Kirche in Bayern rechts des Rheins vom 15. November 1924 bleiben unberührt.</w:t>
      </w:r>
    </w:p>
    <w:p>
      <w:r>
        <w:t xml:space="preserve">(2) Sollen Entscheidungen über Bau- oder Bodendenkmäler getroffen werden, die unmittelbar gottesdienstlichen Zwecken der Katholischen Kirche oder der Evangelisch-Lutherischen Kirche dienen, so haben die Denkmalschutzbehörden die von den zuständigen kirchlichen Oberbehörden festgestellten kirchlichen Belange zu berücksichtigen. Die Kirchen sind am Verfahren zu beteiligen. Die zuständige kirchliche Oberbehörde entscheidet im Benehmen mit der Obersten Denkmalschutzbehörde, falls die Untere und Höhere Denkmalschutzbehörde die geltend gemachten kirchlichen Belange nicht anerkennen. Gegenüber anderen Religionsgemeinschaften, die Körperschaften des öffentlichen Rechts sind, gelten die Sätze 1 bis 3 sinngemäß.</w:t>
      </w:r>
    </w:p>
    <w:p>
      <w:r>
        <w:rPr>
          <w:color w:val="555555"/>
          <w:sz w:val="17"/>
        </w:rPr>
        <w:t xml:space="preserve">Zitiervorschlag: Art 23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