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BayDSchG (Bayern) — Leistungen</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beteiligt sich unbeschadet bestehender Verpflichtungen in Höhe der jeweils im Staatshaushalt ausgewiesenen Mittel an den Kosten des Denkmalschutzes und der Denkmalpflege, insbesondere an den Kosten der Instandsetzung, Erhaltung, Sicherung und Freilegung von Denkmälern. Die Höhe der Beteiligung richtet sich nach der Bedeutung und der Dringlichkeit des Falls und nach der Leistungsfähigkeit des Eigentümers.</w:t>
      </w:r>
    </w:p>
    <w:p>
      <w:r>
        <w:t xml:space="preserve">(2) Die kommunalen Gebietskörperschaften beteiligen sich im Rahmen ihrer Leistungsfähigkeit in angemessenem Umfang an den Kosten der in Abs. 1 genannten Maßnahmen.</w:t>
      </w:r>
    </w:p>
    <w:p>
      <w:r>
        <w:rPr>
          <w:color w:val="555555"/>
          <w:sz w:val="17"/>
        </w:rPr>
        <w:t xml:space="preserve">Zitiervorschlag: Art 19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