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BayDSchG (Bayern) — Entschädigungsfonds</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Entschädigungen bei Enteignung nach Art. 18, Ausgleich unzumutbarer Kostenbelastungen nach Art. 4 Abs. 3 sowie bei Instandsetzungsmaßnahmen nach Art. 4 Abs. 1 wird ein Entschädigungsfonds vorgehalten, der von der Obersten Denkmalschutzbehörde als staatliches Sondervermögen unterhalten wird. Steuervorteile, die auf die Denkmaleigenschaft zurückzuführen sind, sind bei Zahlungen an den Betroffenen in angemessenem Umfang anzurechnen.</w:t>
      </w:r>
    </w:p>
    <w:p>
      <w:r>
        <w:t xml:space="preserve">(2) Der Freistaat Bayern und die Gemeinden haben die Entschädigung grundsätzlich gemeinsam zu tragen. Die Ansprüche des Berechtigten sind gegen den Freistaat Bayern zu richten. Der Entschädigungsfonds erstattet dem Freistaat Bayern auf Antrag der örtlich zuständigen Regierung die dem Betroffenen gewährten Entschädigungsleistungen.</w:t>
      </w:r>
    </w:p>
    <w:p>
      <w:r>
        <w:t xml:space="preserve">(3) Der Freistaat Bayern und die Gemeinden tragen den Fonds durch Beiträge von je 16 Millionen Euro jährlich. Die staatlichen Beiträge sind in zwei gleichen Teilbeträgen im Januar und im Juli zahlbar. Die von den Gemeinden zu tragenden Einzelbeiträge errechnen sich nach dem Verhältnis der jeweiligen gemeindlichen Umlagegrundlagen für die Kreisumlage oder die Bezirksumlage. Sie werden jährlich vom Landesamt für Statistik berechnet und sollen entsprechend bis 31. März des jeweiligen Beitragsjahres gegenüber den Gemeinden durch Beitragsbescheid festgesetzt werden. Die Beiträge werden mit der Auszahlung der Schlüsselzuweisungen für das dritte Vierteljahr fällig, staatlicherseits einbehalten und an den Fonds abgeführt. Soweit Gemeinden keine Schlüsselzuweisungen erhalten, zahlen sie die Beiträge bis zum 15. September an die Staatsoberkasse.</w:t>
      </w:r>
    </w:p>
    <w:p>
      <w:r>
        <w:t xml:space="preserve">(4) Erfolgt eine Enteignung zugunsten einer juristischen Person des öffentlichen Rechts, die nicht Gebietskörperschaft ist, oder zugunsten einer juristischen Person des Privatrechts, so hat diese die Entschädigung zu tragen.</w:t>
      </w:r>
    </w:p>
    <w:p>
      <w:r>
        <w:rPr>
          <w:color w:val="555555"/>
          <w:sz w:val="17"/>
        </w:rPr>
        <w:t xml:space="preserve">Zitiervorschlag: Art 18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