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BayDSchG (Bayern) — Betretungs- und Auskunftsrecht</w:t>
      </w:r>
    </w:p>
    <w:p>
      <w:r>
        <w:rPr>
          <w:color w:val="555555"/>
          <w:sz w:val="18"/>
        </w:rPr>
        <w:t xml:space="preserve">Bayerisches Denkmalschutzgesetz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Denkmalschutzbehörden und das Landesamt für Denkmalpflege sind berechtigt, im Vollzug dieses Gesetzes Grundstücke auch gegen den Willen der Betroffenen zu betreten, soweit das zur Erhaltung eines Bau- oder Bodendenkmals dringend erforderlich erscheint.</w:t>
      </w:r>
    </w:p>
    <w:p>
      <w:r>
        <w:t xml:space="preserve">(2) Eigentümer und Besitzer von Bau- und Bodendenkmälern und sonstige Berechtigte sind verpflichtet, den Denkmalschutzbehörden und dem Landesamt für Denkmalpflege alle zum Vollzug dieses Gesetzes erforderlichen Auskünfte zu erteilen.</w:t>
      </w:r>
    </w:p>
    <w:p>
      <w:r>
        <w:rPr>
          <w:color w:val="555555"/>
          <w:sz w:val="17"/>
        </w:rPr>
        <w:t xml:space="preserve">Zitiervorschlag: Art 15 BayDSchG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https://recht.nulegal.eu/gesetze/BayDSchG/15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